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1847" w14:textId="17B907F7" w:rsidR="00EA5311" w:rsidRDefault="00EA5311" w:rsidP="00EA5311">
      <w:pPr>
        <w:spacing w:line="360" w:lineRule="auto"/>
        <w:jc w:val="left"/>
        <w:rPr>
          <w:rFonts w:ascii="黑体" w:eastAsia="黑体" w:hAnsi="宋体" w:cs="黑体" w:hint="eastAsia"/>
          <w:color w:val="00000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color w:val="000000"/>
          <w:sz w:val="32"/>
          <w:szCs w:val="32"/>
          <w:lang w:bidi="ar"/>
        </w:rPr>
        <w:t>4</w:t>
      </w:r>
      <w:bookmarkStart w:id="0" w:name="_GoBack"/>
      <w:bookmarkEnd w:id="0"/>
    </w:p>
    <w:p w14:paraId="33575B9F" w14:textId="77777777" w:rsidR="00EA5311" w:rsidRDefault="00EA5311" w:rsidP="00EA5311">
      <w:pPr>
        <w:spacing w:line="360" w:lineRule="auto"/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2020学年之江汇教育广场网络同步课程建设活动评价指标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754"/>
        <w:gridCol w:w="656"/>
        <w:gridCol w:w="3375"/>
        <w:gridCol w:w="2016"/>
        <w:gridCol w:w="564"/>
        <w:gridCol w:w="506"/>
      </w:tblGrid>
      <w:tr w:rsidR="00EA5311" w14:paraId="5ADC69F6" w14:textId="77777777" w:rsidTr="00A1528F">
        <w:trPr>
          <w:trHeight w:val="58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81B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lang w:bidi="ar"/>
              </w:rPr>
              <w:t>分类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B961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lang w:bidi="ar"/>
              </w:rPr>
              <w:t>评价指标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825A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lang w:bidi="ar"/>
              </w:rPr>
              <w:t>评价指标具体内容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6E7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lang w:bidi="ar"/>
              </w:rPr>
              <w:t>说明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C448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lang w:bidi="ar"/>
              </w:rPr>
              <w:t>分值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F943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lang w:bidi="ar"/>
              </w:rPr>
              <w:t>备注</w:t>
            </w:r>
          </w:p>
        </w:tc>
      </w:tr>
      <w:tr w:rsidR="00EA5311" w14:paraId="24BC8485" w14:textId="77777777" w:rsidTr="00A1528F">
        <w:trPr>
          <w:trHeight w:val="240"/>
          <w:jc w:val="center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D9EE6A" w14:textId="77777777" w:rsidR="00EA5311" w:rsidRDefault="00EA5311" w:rsidP="00A1528F">
            <w:pPr>
              <w:widowControl/>
              <w:spacing w:line="24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省级精品网络同步课程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F8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课程建设</w:t>
            </w:r>
          </w:p>
          <w:p w14:paraId="4DD716EB" w14:textId="77777777" w:rsidR="00EA5311" w:rsidRDefault="00EA5311" w:rsidP="00A1528F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（</w:t>
            </w:r>
            <w:r>
              <w:rPr>
                <w:rFonts w:ascii="黑体" w:eastAsia="黑体" w:hAnsi="黑体" w:hint="eastAsia"/>
                <w:color w:val="000000"/>
                <w:sz w:val="24"/>
                <w:lang w:bidi="ar"/>
              </w:rPr>
              <w:t>1</w:t>
            </w:r>
            <w:r>
              <w:rPr>
                <w:rFonts w:ascii="黑体" w:eastAsia="黑体" w:hAnsi="黑体"/>
                <w:color w:val="000000"/>
                <w:sz w:val="24"/>
                <w:lang w:bidi="ar"/>
              </w:rPr>
              <w:t>0</w:t>
            </w: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分）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11E8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课程简介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D7A1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开课时上传课程简介，包括预期目标、教师介绍、适用对象、教学计划、学习基础、评价标准。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4056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完成课程简介上传，得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FF07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279CF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color w:val="000000"/>
                <w:szCs w:val="21"/>
                <w:lang w:bidi="ar"/>
              </w:rPr>
            </w:pPr>
            <w:r>
              <w:rPr>
                <w:rFonts w:eastAsia="仿宋_GB2312" w:hint="eastAsia"/>
                <w:color w:val="000000"/>
                <w:szCs w:val="21"/>
                <w:lang w:bidi="ar"/>
              </w:rPr>
              <w:t>平台统计</w:t>
            </w:r>
          </w:p>
        </w:tc>
      </w:tr>
      <w:tr w:rsidR="00EA5311" w14:paraId="2F325484" w14:textId="77777777" w:rsidTr="00A1528F">
        <w:trPr>
          <w:trHeight w:val="90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BA48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lang w:bidi="ar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3F6F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lang w:bidi="a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7916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配套材料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332F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配套材料丰富详实，包括学案、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课件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、练习单等。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6505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上传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个配套材料得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0.4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分，上限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8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4D95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33BFBAA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</w:tr>
      <w:tr w:rsidR="00EA5311" w14:paraId="3BE76067" w14:textId="77777777" w:rsidTr="00A1528F">
        <w:trPr>
          <w:trHeight w:val="90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28CB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C04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课程应用（</w:t>
            </w:r>
            <w:r>
              <w:rPr>
                <w:rFonts w:ascii="黑体" w:eastAsia="黑体" w:hAnsi="黑体" w:hint="eastAsia"/>
                <w:color w:val="000000"/>
                <w:sz w:val="24"/>
                <w:lang w:bidi="ar"/>
              </w:rPr>
              <w:t>55</w:t>
            </w: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分）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6A1C3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学生学习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151C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网络学员数量。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AB70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按照排名分档赋分。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C07A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DBEB87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color w:val="000000"/>
                <w:szCs w:val="21"/>
                <w:lang w:bidi="ar"/>
              </w:rPr>
            </w:pPr>
          </w:p>
        </w:tc>
      </w:tr>
      <w:tr w:rsidR="00EA5311" w14:paraId="4D99F21F" w14:textId="77777777" w:rsidTr="00A1528F">
        <w:trPr>
          <w:trHeight w:val="90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A1866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lang w:bidi="ar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6D7C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lang w:bidi="ar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9A4C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仿宋_GB2312"/>
                <w:color w:val="000000"/>
                <w:szCs w:val="21"/>
                <w:lang w:bidi="ar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1C45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获系统学分的互联网学生数量。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418E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按照排名分档赋分。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D128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  <w:r>
              <w:rPr>
                <w:rFonts w:eastAsia="仿宋_GB2312" w:hint="eastAsia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C3CCF1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color w:val="000000"/>
                <w:szCs w:val="21"/>
                <w:lang w:bidi="ar"/>
              </w:rPr>
            </w:pPr>
          </w:p>
        </w:tc>
      </w:tr>
      <w:tr w:rsidR="00EA5311" w14:paraId="317F9BDD" w14:textId="77777777" w:rsidTr="00A1528F">
        <w:trPr>
          <w:trHeight w:val="195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A6E6C" w14:textId="77777777" w:rsidR="00EA5311" w:rsidRDefault="00EA5311" w:rsidP="00A1528F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2F0" w14:textId="77777777" w:rsidR="00EA5311" w:rsidRDefault="00EA5311" w:rsidP="00A1528F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A287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课程访问人次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D78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课程播放次数。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4E1F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按照排名分档赋分。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E895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65767E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</w:tr>
      <w:tr w:rsidR="00EA5311" w14:paraId="76FAB51E" w14:textId="77777777" w:rsidTr="00A1528F">
        <w:trPr>
          <w:trHeight w:val="195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B29D5" w14:textId="77777777" w:rsidR="00EA5311" w:rsidRDefault="00EA5311" w:rsidP="00A1528F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ADE" w14:textId="77777777" w:rsidR="00EA5311" w:rsidRDefault="00EA5311" w:rsidP="00A1528F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49C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课程互动情况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1FF1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优秀练习评测、答疑交流。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5A03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一次有效操作得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0.1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分，上限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E96E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3AC73F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</w:tr>
      <w:tr w:rsidR="00EA5311" w14:paraId="34E215D8" w14:textId="77777777" w:rsidTr="00A1528F">
        <w:trPr>
          <w:trHeight w:val="300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3C35" w14:textId="77777777" w:rsidR="00EA5311" w:rsidRDefault="00EA5311" w:rsidP="00A1528F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DEB" w14:textId="77777777" w:rsidR="00EA5311" w:rsidRDefault="00EA5311" w:rsidP="00A1528F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70D8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学生评价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EB74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互联网学生对于课程的满意度评价。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AAF1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取互联网学生评分平均值，未评分默认为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0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A54E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A5A9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</w:tr>
      <w:tr w:rsidR="00EA5311" w14:paraId="50479C10" w14:textId="77777777" w:rsidTr="00A1528F">
        <w:trPr>
          <w:trHeight w:val="375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C3F4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4748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A6423B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各学段以上统计总分排名前30%的课程纳入专家评审考核。</w:t>
            </w:r>
          </w:p>
        </w:tc>
      </w:tr>
      <w:tr w:rsidR="00EA5311" w14:paraId="1DED29DC" w14:textId="77777777" w:rsidTr="00A1528F">
        <w:trPr>
          <w:trHeight w:val="195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E85A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D07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专家评审（</w:t>
            </w:r>
            <w:r>
              <w:rPr>
                <w:rFonts w:ascii="黑体" w:eastAsia="黑体" w:hAnsi="黑体" w:hint="eastAsia"/>
                <w:color w:val="000000"/>
                <w:sz w:val="24"/>
                <w:lang w:bidi="ar"/>
              </w:rPr>
              <w:t>35</w:t>
            </w: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分）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AACE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课程质量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8504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课程满足《网络同步课程建设要求（试行）》。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BEAD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专家评分。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AC9E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8A04F5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  <w:r>
              <w:rPr>
                <w:rFonts w:eastAsia="仿宋_GB2312" w:hint="eastAsia"/>
                <w:color w:val="000000"/>
                <w:szCs w:val="21"/>
                <w:lang w:bidi="ar"/>
              </w:rPr>
              <w:t>专家打分</w:t>
            </w:r>
          </w:p>
        </w:tc>
      </w:tr>
      <w:tr w:rsidR="00EA5311" w14:paraId="005DE2CA" w14:textId="77777777" w:rsidTr="00A1528F">
        <w:trPr>
          <w:trHeight w:val="825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A441" w14:textId="77777777" w:rsidR="00EA5311" w:rsidRDefault="00EA5311" w:rsidP="00A1528F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874" w14:textId="77777777" w:rsidR="00EA5311" w:rsidRDefault="00EA5311" w:rsidP="00A1528F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D7FD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案例提炼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C379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从空间在课程开发、网络教学互动、网络教学评价、网络同步课程促进教育均衡、实现精准教学等角度提炼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个应用典型案例，重点要介绍应用场景、解决的问题、取得的效果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。案例在课程负责人空间置顶发布。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EC7E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专家评分。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A193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30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BE4B5C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</w:tr>
      <w:tr w:rsidR="00EA5311" w14:paraId="1D860F2F" w14:textId="77777777" w:rsidTr="00A1528F">
        <w:trPr>
          <w:trHeight w:val="540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151C" w14:textId="77777777" w:rsidR="00EA5311" w:rsidRDefault="00EA5311" w:rsidP="00A1528F">
            <w:pP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8FB8" w14:textId="77777777" w:rsidR="00EA5311" w:rsidRDefault="00EA5311" w:rsidP="00A1528F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加分项（</w:t>
            </w:r>
            <w:r>
              <w:rPr>
                <w:rFonts w:ascii="黑体" w:eastAsia="黑体" w:hAnsi="黑体" w:hint="eastAsia"/>
                <w:color w:val="000000"/>
                <w:sz w:val="24"/>
                <w:lang w:bidi="ar"/>
              </w:rPr>
              <w:t>20</w:t>
            </w: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分）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3EB6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区域外用户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C727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本设区市以外用户报名学习。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4E063" w14:textId="77777777" w:rsidR="00EA5311" w:rsidRDefault="00EA5311" w:rsidP="00A1528F">
            <w:pPr>
              <w:adjustRightInd w:val="0"/>
              <w:snapToGrid w:val="0"/>
              <w:spacing w:line="240" w:lineRule="exac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每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名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设区市外用户获得系统学分得</w:t>
            </w:r>
            <w:r>
              <w:rPr>
                <w:rFonts w:eastAsia="仿宋_GB2312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分，上限</w:t>
            </w:r>
            <w:r>
              <w:rPr>
                <w:rFonts w:eastAsia="仿宋_GB2312" w:hint="eastAsia"/>
                <w:color w:val="000000"/>
                <w:szCs w:val="21"/>
                <w:lang w:bidi="ar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F8CD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AB36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  <w:r>
              <w:rPr>
                <w:rFonts w:eastAsia="仿宋_GB2312" w:hint="eastAsia"/>
                <w:color w:val="000000"/>
                <w:szCs w:val="21"/>
                <w:lang w:bidi="ar"/>
              </w:rPr>
              <w:t>平台统计</w:t>
            </w:r>
          </w:p>
        </w:tc>
      </w:tr>
      <w:tr w:rsidR="00EA5311" w14:paraId="3C4AAC10" w14:textId="77777777" w:rsidTr="00A1528F">
        <w:trPr>
          <w:trHeight w:val="350"/>
          <w:jc w:val="center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C6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D199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总计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A26F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83F1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</w:tr>
      <w:tr w:rsidR="00EA5311" w14:paraId="261ED8EB" w14:textId="77777777" w:rsidTr="00A1528F">
        <w:trPr>
          <w:trHeight w:val="107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B0DD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优秀学员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9F6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课程学习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9DBD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 w:cs="仿宋_GB2312" w:hint="eastAsia"/>
                <w:color w:val="000000"/>
                <w:szCs w:val="21"/>
                <w:lang w:bidi="ar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考查学生参加学习的网络同步课程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"/>
              </w:rPr>
              <w:t>数量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及课程学习完成情况，基本要求如下：</w:t>
            </w:r>
          </w:p>
          <w:p w14:paraId="7B1640BC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eastAsia="仿宋_GB2312" w:cs="仿宋_GB2312"/>
                <w:color w:val="000000"/>
                <w:szCs w:val="21"/>
                <w:lang w:bidi="ar"/>
              </w:rPr>
              <w:t>完成至少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1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门网络同步课程学习；</w:t>
            </w:r>
          </w:p>
          <w:p w14:paraId="1FBE6DC6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eastAsia="仿宋_GB2312" w:cs="仿宋_GB2312"/>
                <w:color w:val="000000"/>
                <w:szCs w:val="21"/>
                <w:lang w:bidi="ar"/>
              </w:rPr>
              <w:t>获得不少于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3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个网络学分；</w:t>
            </w:r>
          </w:p>
          <w:p w14:paraId="678619F9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eastAsia="仿宋_GB2312" w:cs="仿宋_GB2312"/>
                <w:color w:val="000000"/>
                <w:szCs w:val="21"/>
                <w:lang w:bidi="ar"/>
              </w:rPr>
              <w:t>结合网络学习经历和体会，以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“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我的网络学习空间故事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”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为主题写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1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篇学习体会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，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在个人展示空间置顶发布，不少于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300</w:t>
            </w:r>
            <w:r>
              <w:rPr>
                <w:rFonts w:eastAsia="仿宋_GB2312" w:cs="仿宋_GB2312"/>
                <w:color w:val="000000"/>
                <w:szCs w:val="21"/>
                <w:lang w:bidi="ar"/>
              </w:rPr>
              <w:t>字。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4584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设区市按报名学生数的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0.1%</w:t>
            </w: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推荐优秀学员。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AD8C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B078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  <w:r>
              <w:rPr>
                <w:rFonts w:eastAsia="仿宋_GB2312" w:hint="eastAsia"/>
                <w:color w:val="000000"/>
                <w:szCs w:val="21"/>
                <w:lang w:bidi="ar"/>
              </w:rPr>
              <w:t>设区市审核推荐</w:t>
            </w:r>
          </w:p>
        </w:tc>
      </w:tr>
      <w:tr w:rsidR="00EA5311" w14:paraId="33CF4085" w14:textId="77777777" w:rsidTr="00A1528F">
        <w:trPr>
          <w:trHeight w:val="1119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360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优秀组织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0F99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课程建设及应用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437C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cs="仿宋_GB2312"/>
                <w:color w:val="000000"/>
                <w:sz w:val="24"/>
                <w:lang w:bidi="ar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考查区域或学校网络同步课程建设数量、获得省级精品网络同步课程比例、区域学生参与学习情况等。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342" w14:textId="77777777" w:rsidR="00EA5311" w:rsidRDefault="00EA5311" w:rsidP="00A1528F">
            <w:pPr>
              <w:adjustRightInd w:val="0"/>
              <w:snapToGrid w:val="0"/>
              <w:spacing w:line="240" w:lineRule="exact"/>
              <w:jc w:val="left"/>
              <w:rPr>
                <w:rFonts w:ascii="黑体" w:eastAsia="仿宋_GB2312" w:hAnsi="黑体" w:cs="仿宋_GB2312"/>
                <w:color w:val="000000"/>
                <w:sz w:val="24"/>
                <w:lang w:bidi="ar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lang w:bidi="ar"/>
              </w:rPr>
              <w:t>按照排名分档赋分。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3471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A83E" w14:textId="77777777" w:rsidR="00EA5311" w:rsidRDefault="00EA5311" w:rsidP="00A1528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Cs w:val="21"/>
                <w:lang w:bidi="ar"/>
              </w:rPr>
            </w:pPr>
            <w:r>
              <w:rPr>
                <w:rFonts w:eastAsia="仿宋_GB2312" w:hint="eastAsia"/>
                <w:color w:val="000000"/>
                <w:szCs w:val="21"/>
                <w:lang w:bidi="ar"/>
              </w:rPr>
              <w:t>平台统计</w:t>
            </w:r>
          </w:p>
        </w:tc>
      </w:tr>
    </w:tbl>
    <w:p w14:paraId="31CF6633" w14:textId="77777777" w:rsidR="007C14E8" w:rsidRDefault="007C14E8">
      <w:pPr>
        <w:ind w:firstLine="640"/>
      </w:pPr>
    </w:p>
    <w:sectPr w:rsidR="007C1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FA63" w14:textId="77777777" w:rsidR="00B60D52" w:rsidRDefault="00B60D52" w:rsidP="00EA5311">
      <w:r>
        <w:separator/>
      </w:r>
    </w:p>
  </w:endnote>
  <w:endnote w:type="continuationSeparator" w:id="0">
    <w:p w14:paraId="18EF7491" w14:textId="77777777" w:rsidR="00B60D52" w:rsidRDefault="00B60D52" w:rsidP="00E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4AA2" w14:textId="77777777" w:rsidR="00B60D52" w:rsidRDefault="00B60D52" w:rsidP="00EA5311">
      <w:r>
        <w:separator/>
      </w:r>
    </w:p>
  </w:footnote>
  <w:footnote w:type="continuationSeparator" w:id="0">
    <w:p w14:paraId="22914C07" w14:textId="77777777" w:rsidR="00B60D52" w:rsidRDefault="00B60D52" w:rsidP="00EA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0F"/>
    <w:rsid w:val="007C14E8"/>
    <w:rsid w:val="008F4C0F"/>
    <w:rsid w:val="00B60D52"/>
    <w:rsid w:val="00E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AFAAB"/>
  <w15:chartTrackingRefBased/>
  <w15:docId w15:val="{B70C0246-97D5-4068-935D-9CEFFFB6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11"/>
    <w:pPr>
      <w:widowControl w:val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1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3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311"/>
    <w:pPr>
      <w:widowControl/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470</Characters>
  <Application>Microsoft Office Word</Application>
  <DocSecurity>0</DocSecurity>
  <Lines>117</Lines>
  <Paragraphs>182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2020-08-11T02:52:00Z</dcterms:created>
  <dcterms:modified xsi:type="dcterms:W3CDTF">2020-08-11T02:52:00Z</dcterms:modified>
</cp:coreProperties>
</file>